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352A15" w14:textId="77777777" w:rsidR="00D82C18" w:rsidRPr="00B3608C" w:rsidRDefault="00B3608C" w:rsidP="00F910A3">
      <w:pPr>
        <w:spacing w:before="120" w:after="120" w:line="260" w:lineRule="atLeast"/>
        <w:rPr>
          <w:rFonts w:ascii="Verdana" w:hAnsi="Verdana"/>
        </w:rPr>
      </w:pPr>
      <w:r>
        <w:rPr>
          <w:rFonts w:ascii="Verdana" w:hAnsi="Verdana"/>
          <w:sz w:val="28"/>
          <w:szCs w:val="28"/>
          <w:lang w:val="tr"/>
        </w:rPr>
        <w:t>Ders 1.6 (</w:t>
      </w:r>
      <w:r>
        <w:rPr>
          <w:rFonts w:ascii="Verdana" w:hAnsi="Verdana"/>
          <w:color w:val="000000" w:themeColor="text1"/>
          <w:sz w:val="28"/>
          <w:szCs w:val="28"/>
          <w:lang w:val="tr"/>
        </w:rPr>
        <w:t>Budapeşte Sözleşmesi: Genel Bakış - Çevrim İçi Sürüm)</w:t>
      </w:r>
    </w:p>
    <w:p w14:paraId="209C4ECF" w14:textId="77777777" w:rsidR="00C115FC" w:rsidRPr="00C115FC" w:rsidRDefault="00C115FC" w:rsidP="00F910A3">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6D580709" w14:textId="77777777" w:rsidTr="00F1574D">
        <w:trPr>
          <w:trHeight w:val="872"/>
        </w:trPr>
        <w:tc>
          <w:tcPr>
            <w:tcW w:w="6845" w:type="dxa"/>
            <w:gridSpan w:val="2"/>
            <w:shd w:val="clear" w:color="auto" w:fill="DEEAF6" w:themeFill="accent5" w:themeFillTint="33"/>
            <w:vAlign w:val="center"/>
          </w:tcPr>
          <w:p w14:paraId="2788133F" w14:textId="77777777" w:rsidR="00D82C18" w:rsidRPr="00D82C18" w:rsidRDefault="00C115FC" w:rsidP="00F910A3">
            <w:pPr>
              <w:spacing w:before="120" w:after="120" w:line="260" w:lineRule="atLeast"/>
              <w:rPr>
                <w:rFonts w:ascii="Verdana" w:hAnsi="Verdana"/>
                <w:sz w:val="22"/>
                <w:szCs w:val="22"/>
              </w:rPr>
            </w:pPr>
            <w:r>
              <w:rPr>
                <w:rFonts w:ascii="Verdana" w:hAnsi="Verdana"/>
                <w:sz w:val="22"/>
                <w:szCs w:val="22"/>
                <w:lang w:val="tr"/>
              </w:rPr>
              <w:t xml:space="preserve">Ders 1.6 </w:t>
            </w:r>
            <w:r>
              <w:rPr>
                <w:rFonts w:ascii="Verdana" w:hAnsi="Verdana"/>
                <w:color w:val="000000" w:themeColor="text1"/>
                <w:sz w:val="22"/>
                <w:szCs w:val="22"/>
                <w:lang w:val="tr"/>
              </w:rPr>
              <w:t>Budapeşte Sözleşmesi: Genel Bakış</w:t>
            </w:r>
          </w:p>
        </w:tc>
        <w:tc>
          <w:tcPr>
            <w:tcW w:w="2165" w:type="dxa"/>
            <w:shd w:val="clear" w:color="auto" w:fill="DEEAF6" w:themeFill="accent5" w:themeFillTint="33"/>
            <w:vAlign w:val="center"/>
          </w:tcPr>
          <w:p w14:paraId="2A572CA2" w14:textId="77777777" w:rsidR="00D82C18" w:rsidRPr="00D82C18" w:rsidRDefault="00D82C18" w:rsidP="00F910A3">
            <w:pPr>
              <w:spacing w:before="120" w:after="120" w:line="260" w:lineRule="atLeast"/>
              <w:rPr>
                <w:rFonts w:ascii="Verdana" w:hAnsi="Verdana"/>
                <w:sz w:val="22"/>
                <w:szCs w:val="22"/>
              </w:rPr>
            </w:pPr>
            <w:r>
              <w:rPr>
                <w:rFonts w:ascii="Verdana" w:hAnsi="Verdana"/>
                <w:sz w:val="22"/>
                <w:szCs w:val="22"/>
                <w:lang w:val="tr"/>
              </w:rPr>
              <w:t xml:space="preserve">Süre: </w:t>
            </w:r>
            <w:r>
              <w:rPr>
                <w:rFonts w:ascii="Verdana" w:hAnsi="Verdana"/>
                <w:color w:val="000000" w:themeColor="text1"/>
                <w:sz w:val="22"/>
                <w:szCs w:val="22"/>
                <w:lang w:val="tr"/>
              </w:rPr>
              <w:t xml:space="preserve">45 dakika </w:t>
            </w:r>
          </w:p>
        </w:tc>
      </w:tr>
      <w:tr w:rsidR="00E7344B" w:rsidRPr="00D82C18" w14:paraId="6D687C52" w14:textId="77777777" w:rsidTr="00A439ED">
        <w:trPr>
          <w:trHeight w:val="1727"/>
        </w:trPr>
        <w:tc>
          <w:tcPr>
            <w:tcW w:w="9010" w:type="dxa"/>
            <w:gridSpan w:val="3"/>
            <w:vAlign w:val="center"/>
          </w:tcPr>
          <w:p w14:paraId="6512C959" w14:textId="77777777" w:rsidR="00E7344B" w:rsidRPr="000F7896" w:rsidRDefault="00E7344B" w:rsidP="00F910A3">
            <w:pPr>
              <w:spacing w:before="120" w:after="120" w:line="260" w:lineRule="atLeast"/>
              <w:rPr>
                <w:rFonts w:ascii="Verdana" w:hAnsi="Verdana"/>
                <w:b/>
                <w:sz w:val="22"/>
                <w:szCs w:val="22"/>
              </w:rPr>
            </w:pPr>
            <w:r>
              <w:rPr>
                <w:rFonts w:ascii="Verdana" w:hAnsi="Verdana"/>
                <w:b/>
                <w:bCs/>
                <w:sz w:val="22"/>
                <w:szCs w:val="22"/>
                <w:lang w:val="tr"/>
              </w:rPr>
              <w:t>Gerek</w:t>
            </w:r>
            <w:r w:rsidR="00C5358D">
              <w:rPr>
                <w:rFonts w:ascii="Verdana" w:hAnsi="Verdana"/>
                <w:b/>
                <w:bCs/>
                <w:sz w:val="22"/>
                <w:szCs w:val="22"/>
                <w:lang w:val="tr"/>
              </w:rPr>
              <w:t>li</w:t>
            </w:r>
            <w:r>
              <w:rPr>
                <w:rFonts w:ascii="Verdana" w:hAnsi="Verdana"/>
                <w:b/>
                <w:bCs/>
                <w:sz w:val="22"/>
                <w:szCs w:val="22"/>
                <w:lang w:val="tr"/>
              </w:rPr>
              <w:t xml:space="preserve"> Kaynaklar: </w:t>
            </w:r>
          </w:p>
          <w:p w14:paraId="1CC33686" w14:textId="77777777" w:rsidR="00DF2563" w:rsidRDefault="00DF2563" w:rsidP="00F910A3">
            <w:pPr>
              <w:pStyle w:val="bul1"/>
              <w:numPr>
                <w:ilvl w:val="0"/>
                <w:numId w:val="6"/>
              </w:numPr>
              <w:spacing w:before="120" w:after="120" w:line="260" w:lineRule="atLeast"/>
              <w:ind w:left="714" w:hanging="357"/>
              <w:contextualSpacing/>
              <w:rPr>
                <w:szCs w:val="18"/>
              </w:rPr>
            </w:pPr>
            <w:r>
              <w:rPr>
                <w:szCs w:val="18"/>
                <w:lang w:val="tr"/>
              </w:rPr>
              <w:t>Hazırlanan materyallerle uyumlu yazılım sürümlerinin yüklü olduğu bir PC/dizüstü bilgisayar</w:t>
            </w:r>
            <w:r w:rsidR="00110B25">
              <w:rPr>
                <w:szCs w:val="18"/>
                <w:lang w:val="tr"/>
              </w:rPr>
              <w:t xml:space="preserve"> (Laptop)</w:t>
            </w:r>
          </w:p>
          <w:p w14:paraId="080F6855" w14:textId="77777777" w:rsidR="00DF2563" w:rsidRDefault="00DF2563" w:rsidP="00F910A3">
            <w:pPr>
              <w:pStyle w:val="bul1"/>
              <w:numPr>
                <w:ilvl w:val="0"/>
                <w:numId w:val="6"/>
              </w:numPr>
              <w:spacing w:before="120" w:after="120" w:line="260" w:lineRule="atLeast"/>
              <w:ind w:left="714" w:hanging="357"/>
              <w:contextualSpacing/>
              <w:rPr>
                <w:szCs w:val="18"/>
              </w:rPr>
            </w:pPr>
            <w:r>
              <w:rPr>
                <w:szCs w:val="18"/>
                <w:lang w:val="tr"/>
              </w:rPr>
              <w:t>Çevrim içi konferans görüşme yazılımına/platformuna erişim</w:t>
            </w:r>
          </w:p>
          <w:p w14:paraId="52223A74" w14:textId="77777777" w:rsidR="00DF2563" w:rsidRDefault="00DF2563" w:rsidP="00F910A3">
            <w:pPr>
              <w:pStyle w:val="bul1"/>
              <w:numPr>
                <w:ilvl w:val="0"/>
                <w:numId w:val="6"/>
              </w:numPr>
              <w:spacing w:before="120" w:after="120" w:line="260" w:lineRule="atLeast"/>
              <w:ind w:left="714" w:hanging="357"/>
              <w:contextualSpacing/>
              <w:rPr>
                <w:szCs w:val="18"/>
              </w:rPr>
            </w:pPr>
            <w:r>
              <w:rPr>
                <w:szCs w:val="18"/>
                <w:lang w:val="tr"/>
              </w:rPr>
              <w:t>Projektör ve gösterim ekranı</w:t>
            </w:r>
          </w:p>
          <w:p w14:paraId="0629491D" w14:textId="77777777" w:rsidR="00DF2563" w:rsidRDefault="00DF2563" w:rsidP="00F910A3">
            <w:pPr>
              <w:pStyle w:val="bul1"/>
              <w:numPr>
                <w:ilvl w:val="0"/>
                <w:numId w:val="6"/>
              </w:numPr>
              <w:spacing w:before="120" w:after="120" w:line="260" w:lineRule="atLeast"/>
              <w:ind w:left="714" w:hanging="357"/>
              <w:contextualSpacing/>
              <w:rPr>
                <w:szCs w:val="18"/>
              </w:rPr>
            </w:pPr>
            <w:r>
              <w:rPr>
                <w:szCs w:val="18"/>
                <w:lang w:val="tr"/>
              </w:rPr>
              <w:t xml:space="preserve">İnternet erişimi </w:t>
            </w:r>
          </w:p>
          <w:p w14:paraId="78E69042" w14:textId="77777777" w:rsidR="000F7896" w:rsidRPr="00DF2563" w:rsidRDefault="00DF2563" w:rsidP="00F910A3">
            <w:pPr>
              <w:pStyle w:val="bul1"/>
              <w:numPr>
                <w:ilvl w:val="0"/>
                <w:numId w:val="6"/>
              </w:numPr>
              <w:spacing w:before="120" w:after="120" w:line="260" w:lineRule="atLeast"/>
              <w:ind w:left="714" w:hanging="357"/>
              <w:contextualSpacing/>
              <w:rPr>
                <w:rFonts w:ascii="Symbol" w:hAnsi="Symbol"/>
              </w:rPr>
            </w:pPr>
            <w:r>
              <w:rPr>
                <w:rFonts w:cs="Helvetica"/>
                <w:szCs w:val="18"/>
                <w:lang w:val="tr"/>
              </w:rPr>
              <w:t>Öğrenci not kağıdı ve kalemler</w:t>
            </w:r>
          </w:p>
          <w:p w14:paraId="4039330E" w14:textId="77777777" w:rsidR="00DF2563" w:rsidRPr="00A439ED" w:rsidRDefault="00DF2563" w:rsidP="00F910A3">
            <w:pPr>
              <w:pStyle w:val="bul1"/>
              <w:numPr>
                <w:ilvl w:val="0"/>
                <w:numId w:val="6"/>
              </w:numPr>
              <w:spacing w:before="120" w:after="120" w:line="260" w:lineRule="atLeast"/>
              <w:ind w:left="714" w:hanging="357"/>
              <w:contextualSpacing/>
              <w:rPr>
                <w:rFonts w:ascii="Symbol" w:hAnsi="Symbol"/>
              </w:rPr>
            </w:pPr>
            <w:r>
              <w:rPr>
                <w:rFonts w:cs="Helvetica"/>
                <w:szCs w:val="18"/>
                <w:lang w:val="tr"/>
              </w:rPr>
              <w:t xml:space="preserve">Budapeşte Sözleşmesinin kopyası </w:t>
            </w:r>
          </w:p>
        </w:tc>
      </w:tr>
      <w:tr w:rsidR="00E7344B" w:rsidRPr="00F910A3" w14:paraId="1C5F8B76" w14:textId="77777777" w:rsidTr="00F910A3">
        <w:trPr>
          <w:trHeight w:val="1814"/>
        </w:trPr>
        <w:tc>
          <w:tcPr>
            <w:tcW w:w="9010" w:type="dxa"/>
            <w:gridSpan w:val="3"/>
            <w:vAlign w:val="center"/>
          </w:tcPr>
          <w:p w14:paraId="5C7646A1" w14:textId="77777777" w:rsidR="00A03CF0" w:rsidRDefault="00A03CF0" w:rsidP="00F910A3">
            <w:pPr>
              <w:spacing w:before="120" w:after="120" w:line="260" w:lineRule="atLeast"/>
              <w:rPr>
                <w:rFonts w:ascii="Verdana" w:hAnsi="Verdana"/>
                <w:b/>
                <w:sz w:val="22"/>
                <w:szCs w:val="22"/>
              </w:rPr>
            </w:pPr>
            <w:r>
              <w:rPr>
                <w:rFonts w:ascii="Verdana" w:hAnsi="Verdana"/>
                <w:b/>
                <w:bCs/>
                <w:sz w:val="22"/>
                <w:szCs w:val="22"/>
                <w:lang w:val="tr"/>
              </w:rPr>
              <w:t xml:space="preserve">Oturumun Amacı:  </w:t>
            </w:r>
          </w:p>
          <w:p w14:paraId="40807D9B" w14:textId="77777777" w:rsidR="00A03CF0" w:rsidRPr="00F910A3" w:rsidRDefault="00BA7368" w:rsidP="00F910A3">
            <w:pPr>
              <w:spacing w:before="120" w:after="120" w:line="260" w:lineRule="atLeast"/>
              <w:jc w:val="both"/>
              <w:rPr>
                <w:rFonts w:ascii="Verdana" w:hAnsi="Verdana"/>
                <w:i/>
                <w:color w:val="FF0000"/>
                <w:sz w:val="18"/>
                <w:szCs w:val="18"/>
                <w:lang w:val="tr"/>
              </w:rPr>
            </w:pPr>
            <w:r>
              <w:rPr>
                <w:rFonts w:ascii="Verdana" w:eastAsia="Times New Roman" w:hAnsi="Verdana" w:cs="Times New Roman"/>
                <w:sz w:val="18"/>
                <w:szCs w:val="18"/>
                <w:lang w:val="tr"/>
              </w:rPr>
              <w:t xml:space="preserve">Oturumun amacı, </w:t>
            </w:r>
            <w:r w:rsidR="00110B25">
              <w:rPr>
                <w:rFonts w:ascii="Verdana" w:eastAsia="Times New Roman" w:hAnsi="Verdana" w:cs="Times New Roman"/>
                <w:sz w:val="18"/>
                <w:szCs w:val="18"/>
                <w:lang w:val="tr"/>
              </w:rPr>
              <w:t>katılımcılara</w:t>
            </w:r>
            <w:r>
              <w:rPr>
                <w:rFonts w:ascii="Verdana" w:eastAsia="Times New Roman" w:hAnsi="Verdana" w:cs="Times New Roman"/>
                <w:sz w:val="18"/>
                <w:szCs w:val="18"/>
                <w:lang w:val="tr"/>
              </w:rPr>
              <w:t xml:space="preserve"> Budapeşte Sözleşmesi hakkında genel bir bakış sunmaktır. Budapeşte Sözleşmesi, siber suçlar ve elektronik delillerle ilgili tek uluslararası antlaşmadır ve dünyanın her yerinden 65 ülke sözleşmeye taraftır. Bu oturumda, maddi hukuk, usul hukuku ve uluslararası işbirliği hükümleri dahil olmak üzere Budapeşte Sözleşmesinin hükümlerine üst düzey bir genel bakış sunulmaktadır. Budapeşte Sözleşmesinin herhangi bir siber suç antlaşması için gerekli olan tüm temel unsurlara nasıl sahip olduğu açıklanmaktadır. İyileştirilmiş ulusal hukuk, gelişmiş yerel soruşturmalar, hukuki olarak bağlayıcı bir uluslararası işbirliği mekanizması, kapasite geliştirme programı ve uluslararası uygulayıcılar için bir ağa erişim gibi Budapeşte Sözleşmesinin taraflarının deneyimledikleri pratik faydalar ana hatlarıyla ele alınmaktadır. Oturumda aynı zamanda Budapeşte Sözleşmesi hakkında yaygın olarak sahip olunan yanlış kanılar da ortadan kaldırılmaktadır. </w:t>
            </w:r>
          </w:p>
        </w:tc>
      </w:tr>
      <w:tr w:rsidR="00A03CF0" w:rsidRPr="00F910A3" w14:paraId="352857E2" w14:textId="77777777" w:rsidTr="001E7389">
        <w:trPr>
          <w:trHeight w:val="983"/>
        </w:trPr>
        <w:tc>
          <w:tcPr>
            <w:tcW w:w="9010" w:type="dxa"/>
            <w:gridSpan w:val="3"/>
            <w:vAlign w:val="center"/>
          </w:tcPr>
          <w:p w14:paraId="1875F3C7" w14:textId="77777777" w:rsidR="00A03CF0" w:rsidRPr="00F910A3" w:rsidRDefault="00271010" w:rsidP="00F910A3">
            <w:pPr>
              <w:spacing w:before="120" w:after="120" w:line="260" w:lineRule="atLeast"/>
              <w:contextualSpacing/>
              <w:rPr>
                <w:rFonts w:ascii="Verdana" w:hAnsi="Verdana"/>
                <w:b/>
                <w:sz w:val="22"/>
                <w:szCs w:val="22"/>
                <w:lang w:val="tr"/>
              </w:rPr>
            </w:pPr>
            <w:r>
              <w:rPr>
                <w:rFonts w:ascii="Verdana" w:hAnsi="Verdana"/>
                <w:b/>
                <w:bCs/>
                <w:sz w:val="22"/>
                <w:szCs w:val="22"/>
                <w:lang w:val="tr"/>
              </w:rPr>
              <w:t>Hedefler:</w:t>
            </w:r>
          </w:p>
          <w:p w14:paraId="0015DED5" w14:textId="77777777" w:rsidR="000F7896" w:rsidRPr="00F910A3" w:rsidRDefault="000F7896" w:rsidP="00F910A3">
            <w:pPr>
              <w:tabs>
                <w:tab w:val="left" w:pos="426"/>
                <w:tab w:val="left" w:pos="851"/>
              </w:tabs>
              <w:spacing w:before="120" w:after="120" w:line="260" w:lineRule="atLeast"/>
              <w:rPr>
                <w:rFonts w:ascii="Verdana" w:eastAsia="Times New Roman" w:hAnsi="Verdana" w:cs="Times New Roman"/>
                <w:sz w:val="18"/>
                <w:szCs w:val="18"/>
                <w:lang w:val="tr"/>
              </w:rPr>
            </w:pPr>
            <w:r>
              <w:rPr>
                <w:rFonts w:ascii="Verdana" w:eastAsia="Times New Roman" w:hAnsi="Verdana" w:cs="Times New Roman"/>
                <w:sz w:val="18"/>
                <w:szCs w:val="18"/>
                <w:lang w:val="tr"/>
              </w:rPr>
              <w:t xml:space="preserve">Bu oturumun sonunda </w:t>
            </w:r>
            <w:r w:rsidR="00110B25">
              <w:rPr>
                <w:rFonts w:ascii="Verdana" w:eastAsia="Times New Roman" w:hAnsi="Verdana" w:cs="Times New Roman"/>
                <w:sz w:val="18"/>
                <w:szCs w:val="18"/>
                <w:lang w:val="tr"/>
              </w:rPr>
              <w:t>katılımcılar</w:t>
            </w:r>
            <w:r>
              <w:rPr>
                <w:rFonts w:ascii="Verdana" w:eastAsia="Times New Roman" w:hAnsi="Verdana" w:cs="Times New Roman"/>
                <w:sz w:val="18"/>
                <w:szCs w:val="18"/>
                <w:lang w:val="tr"/>
              </w:rPr>
              <w:t>:</w:t>
            </w:r>
          </w:p>
          <w:p w14:paraId="62123412" w14:textId="77777777" w:rsidR="00437AF3" w:rsidRPr="00AC1380" w:rsidRDefault="007E3B3E" w:rsidP="00F910A3">
            <w:pPr>
              <w:pStyle w:val="bul1"/>
              <w:numPr>
                <w:ilvl w:val="0"/>
                <w:numId w:val="11"/>
              </w:numPr>
              <w:spacing w:before="120" w:after="120" w:line="260" w:lineRule="atLeast"/>
              <w:ind w:left="714" w:hanging="357"/>
              <w:contextualSpacing/>
              <w:rPr>
                <w:szCs w:val="18"/>
              </w:rPr>
            </w:pPr>
            <w:r>
              <w:rPr>
                <w:szCs w:val="18"/>
                <w:lang w:val="tr"/>
              </w:rPr>
              <w:t xml:space="preserve">Budapeşte Sözleşmesinin kapsamını anlamış olacak, </w:t>
            </w:r>
          </w:p>
          <w:p w14:paraId="6F647433" w14:textId="77777777" w:rsidR="00437AF3" w:rsidRPr="00AC1380" w:rsidRDefault="007E3B3E" w:rsidP="00F910A3">
            <w:pPr>
              <w:pStyle w:val="bul1"/>
              <w:numPr>
                <w:ilvl w:val="0"/>
                <w:numId w:val="11"/>
              </w:numPr>
              <w:spacing w:before="120" w:after="120" w:line="260" w:lineRule="atLeast"/>
              <w:ind w:left="714" w:hanging="357"/>
              <w:contextualSpacing/>
              <w:rPr>
                <w:szCs w:val="18"/>
              </w:rPr>
            </w:pPr>
            <w:r>
              <w:rPr>
                <w:szCs w:val="18"/>
                <w:lang w:val="tr"/>
              </w:rPr>
              <w:t xml:space="preserve">Budapeşte Sözleşmesinin kaç tane üyesi olduğunu öğrenmiş olacak, </w:t>
            </w:r>
          </w:p>
          <w:p w14:paraId="7BCAB1F3" w14:textId="77777777" w:rsidR="00437AF3" w:rsidRPr="00AC1380" w:rsidRDefault="007E3B3E" w:rsidP="00F910A3">
            <w:pPr>
              <w:pStyle w:val="bul1"/>
              <w:numPr>
                <w:ilvl w:val="0"/>
                <w:numId w:val="11"/>
              </w:numPr>
              <w:spacing w:before="120" w:after="120" w:line="260" w:lineRule="atLeast"/>
              <w:ind w:left="714" w:hanging="357"/>
              <w:contextualSpacing/>
              <w:rPr>
                <w:szCs w:val="18"/>
              </w:rPr>
            </w:pPr>
            <w:r>
              <w:rPr>
                <w:szCs w:val="18"/>
                <w:lang w:val="tr"/>
              </w:rPr>
              <w:t xml:space="preserve">Bir siber suç antlaşmasının temel unsurlarını bilecek, </w:t>
            </w:r>
          </w:p>
          <w:p w14:paraId="2A19A6FF" w14:textId="77777777" w:rsidR="001E7389" w:rsidRPr="001E7389" w:rsidRDefault="007E3B3E" w:rsidP="00F910A3">
            <w:pPr>
              <w:pStyle w:val="bul1"/>
              <w:numPr>
                <w:ilvl w:val="0"/>
                <w:numId w:val="11"/>
              </w:numPr>
              <w:spacing w:before="120" w:after="120" w:line="260" w:lineRule="atLeast"/>
              <w:ind w:left="714" w:hanging="357"/>
              <w:contextualSpacing/>
            </w:pPr>
            <w:r>
              <w:rPr>
                <w:szCs w:val="18"/>
                <w:lang w:val="tr"/>
              </w:rPr>
              <w:t>Budapeşte Sözleşmesinin faydalarını anlamış olacak ve Budapeşte Sözleşmesi hakkındaki yaygın yanlış kanıları ele alacaktır.</w:t>
            </w:r>
          </w:p>
        </w:tc>
      </w:tr>
      <w:tr w:rsidR="005703B7" w:rsidRPr="00F910A3" w14:paraId="79427DD3" w14:textId="77777777" w:rsidTr="00E31F52">
        <w:trPr>
          <w:trHeight w:val="58"/>
        </w:trPr>
        <w:tc>
          <w:tcPr>
            <w:tcW w:w="9010" w:type="dxa"/>
            <w:gridSpan w:val="3"/>
            <w:tcBorders>
              <w:bottom w:val="single" w:sz="4" w:space="0" w:color="auto"/>
            </w:tcBorders>
            <w:vAlign w:val="center"/>
          </w:tcPr>
          <w:p w14:paraId="67C04B5F" w14:textId="77777777" w:rsidR="005703B7" w:rsidRPr="00F910A3" w:rsidRDefault="00110B25" w:rsidP="00F910A3">
            <w:pPr>
              <w:spacing w:before="120" w:after="120" w:line="260" w:lineRule="atLeast"/>
              <w:rPr>
                <w:rFonts w:ascii="Verdana" w:hAnsi="Verdana"/>
                <w:b/>
                <w:color w:val="000000" w:themeColor="text1"/>
                <w:sz w:val="22"/>
                <w:szCs w:val="22"/>
                <w:lang w:val="de-DE"/>
              </w:rPr>
            </w:pPr>
            <w:r>
              <w:rPr>
                <w:rFonts w:ascii="Verdana" w:hAnsi="Verdana"/>
                <w:b/>
                <w:bCs/>
                <w:color w:val="000000" w:themeColor="text1"/>
                <w:sz w:val="22"/>
                <w:szCs w:val="22"/>
                <w:lang w:val="tr"/>
              </w:rPr>
              <w:t>Eğitici</w:t>
            </w:r>
            <w:r w:rsidR="00E95703">
              <w:rPr>
                <w:rFonts w:ascii="Verdana" w:hAnsi="Verdana"/>
                <w:b/>
                <w:bCs/>
                <w:color w:val="000000" w:themeColor="text1"/>
                <w:sz w:val="22"/>
                <w:szCs w:val="22"/>
                <w:lang w:val="tr"/>
              </w:rPr>
              <w:t xml:space="preserve"> Rehberi</w:t>
            </w:r>
          </w:p>
          <w:p w14:paraId="6209D1DE" w14:textId="77777777" w:rsidR="00F910A3" w:rsidRDefault="00AC1380" w:rsidP="00F910A3">
            <w:pPr>
              <w:spacing w:before="120" w:after="120" w:line="260" w:lineRule="atLeast"/>
              <w:jc w:val="both"/>
              <w:rPr>
                <w:rFonts w:ascii="Verdana" w:hAnsi="Verdana"/>
                <w:color w:val="000000" w:themeColor="text1"/>
                <w:sz w:val="18"/>
                <w:szCs w:val="18"/>
                <w:lang w:val="de-DE"/>
              </w:rPr>
            </w:pPr>
            <w:r w:rsidRPr="00F910A3">
              <w:rPr>
                <w:rFonts w:ascii="Verdana" w:hAnsi="Verdana"/>
                <w:color w:val="000000" w:themeColor="text1"/>
                <w:sz w:val="18"/>
                <w:szCs w:val="18"/>
                <w:lang w:val="tr"/>
              </w:rPr>
              <w:t xml:space="preserve">Bu oturum, Avrupa Konseyinin giriş niteliğindeki adli eğitiminin yeni eklenmiş bir bölümdür. </w:t>
            </w:r>
          </w:p>
          <w:p w14:paraId="5E18D223" w14:textId="74D31CEE" w:rsidR="00FF2976" w:rsidRPr="00F910A3" w:rsidRDefault="00E31F52" w:rsidP="00F910A3">
            <w:pPr>
              <w:spacing w:before="120" w:after="120" w:line="260" w:lineRule="atLeast"/>
              <w:jc w:val="both"/>
              <w:rPr>
                <w:rFonts w:ascii="Verdana" w:hAnsi="Verdana"/>
                <w:color w:val="000000" w:themeColor="text1"/>
                <w:sz w:val="18"/>
                <w:szCs w:val="18"/>
                <w:lang w:val="de-DE"/>
              </w:rPr>
            </w:pPr>
            <w:r w:rsidRPr="00F910A3">
              <w:rPr>
                <w:rFonts w:ascii="Verdana" w:hAnsi="Verdana"/>
                <w:color w:val="000000" w:themeColor="text1"/>
                <w:sz w:val="18"/>
                <w:szCs w:val="18"/>
                <w:lang w:val="tr"/>
              </w:rPr>
              <w:t xml:space="preserve">Bu ders planına ve slaytlara ek olarak, </w:t>
            </w:r>
            <w:r w:rsidR="00110B25" w:rsidRPr="00F910A3">
              <w:rPr>
                <w:rFonts w:ascii="Verdana" w:hAnsi="Verdana"/>
                <w:color w:val="000000" w:themeColor="text1"/>
                <w:sz w:val="18"/>
                <w:szCs w:val="18"/>
                <w:lang w:val="tr"/>
              </w:rPr>
              <w:t>eğiticin</w:t>
            </w:r>
            <w:r w:rsidRPr="00F910A3">
              <w:rPr>
                <w:rFonts w:ascii="Verdana" w:hAnsi="Verdana"/>
                <w:color w:val="000000" w:themeColor="text1"/>
                <w:sz w:val="18"/>
                <w:szCs w:val="18"/>
                <w:lang w:val="tr"/>
              </w:rPr>
              <w:t xml:space="preserve">in ayrıca </w:t>
            </w:r>
            <w:hyperlink r:id="rId5" w:history="1">
              <w:r w:rsidRPr="00F910A3">
                <w:rPr>
                  <w:rStyle w:val="Hyperlink"/>
                  <w:rFonts w:ascii="Verdana" w:hAnsi="Verdana"/>
                  <w:b/>
                  <w:bCs/>
                  <w:sz w:val="18"/>
                  <w:szCs w:val="18"/>
                  <w:lang w:val="tr"/>
                </w:rPr>
                <w:t>Budapeşte Siber Suçlar Sözleşmesi: uygulamadaki faydalar ve etkiler</w:t>
              </w:r>
            </w:hyperlink>
            <w:r w:rsidRPr="00F910A3">
              <w:rPr>
                <w:rFonts w:ascii="Verdana" w:hAnsi="Verdana"/>
                <w:color w:val="000000" w:themeColor="text1"/>
                <w:sz w:val="18"/>
                <w:szCs w:val="18"/>
                <w:lang w:val="tr"/>
              </w:rPr>
              <w:t xml:space="preserve"> hakkındaki T-CY raporunu da incelemesi önerilir, çünkü bu rapor bu oturumun önemli bir kısmını oluşturmaktadır. Soru-cevap oturumunda ülkelerin Budapeşte Sözleşmesinden nasıl yararlandıkları konusunda ek bir ilgi varsa, </w:t>
            </w:r>
            <w:r w:rsidR="00110B25" w:rsidRPr="00F910A3">
              <w:rPr>
                <w:rFonts w:ascii="Verdana" w:hAnsi="Verdana"/>
                <w:color w:val="000000" w:themeColor="text1"/>
                <w:sz w:val="18"/>
                <w:szCs w:val="18"/>
                <w:lang w:val="tr"/>
              </w:rPr>
              <w:t>eğitici</w:t>
            </w:r>
            <w:r w:rsidRPr="00F910A3">
              <w:rPr>
                <w:rFonts w:ascii="Verdana" w:hAnsi="Verdana"/>
                <w:color w:val="000000" w:themeColor="text1"/>
                <w:sz w:val="18"/>
                <w:szCs w:val="18"/>
                <w:lang w:val="tr"/>
              </w:rPr>
              <w:t xml:space="preserve"> raporun ilgili herhangi bir bölümünü </w:t>
            </w:r>
            <w:r w:rsidR="00110B25" w:rsidRPr="00F910A3">
              <w:rPr>
                <w:rFonts w:ascii="Verdana" w:hAnsi="Verdana"/>
                <w:color w:val="000000" w:themeColor="text1"/>
                <w:sz w:val="18"/>
                <w:szCs w:val="18"/>
                <w:lang w:val="tr"/>
              </w:rPr>
              <w:t>katılımcılarla</w:t>
            </w:r>
            <w:r w:rsidRPr="00F910A3">
              <w:rPr>
                <w:rFonts w:ascii="Verdana" w:hAnsi="Verdana"/>
                <w:color w:val="000000" w:themeColor="text1"/>
                <w:sz w:val="18"/>
                <w:szCs w:val="18"/>
                <w:lang w:val="tr"/>
              </w:rPr>
              <w:t xml:space="preserve"> paylaşabilir.</w:t>
            </w:r>
          </w:p>
        </w:tc>
      </w:tr>
      <w:tr w:rsidR="005A4E47" w:rsidRPr="00D82C18" w14:paraId="27C754B8"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06E20430" w14:textId="77777777" w:rsidR="005A4E47" w:rsidRPr="00CB3026" w:rsidRDefault="005A4E47" w:rsidP="00F910A3">
            <w:pPr>
              <w:spacing w:before="120" w:after="120" w:line="260" w:lineRule="atLeast"/>
              <w:rPr>
                <w:rFonts w:ascii="Verdana" w:hAnsi="Verdana"/>
                <w:b/>
                <w:sz w:val="28"/>
                <w:szCs w:val="28"/>
              </w:rPr>
            </w:pPr>
            <w:r>
              <w:rPr>
                <w:rFonts w:ascii="Verdana" w:hAnsi="Verdana"/>
                <w:b/>
                <w:bCs/>
                <w:sz w:val="28"/>
                <w:szCs w:val="28"/>
                <w:lang w:val="tr"/>
              </w:rPr>
              <w:t>Ders İçeriği</w:t>
            </w:r>
          </w:p>
        </w:tc>
      </w:tr>
      <w:tr w:rsidR="00F1574D" w:rsidRPr="00D82C18" w14:paraId="62B53CD0" w14:textId="77777777" w:rsidTr="00F1574D">
        <w:trPr>
          <w:trHeight w:val="629"/>
        </w:trPr>
        <w:tc>
          <w:tcPr>
            <w:tcW w:w="1525" w:type="dxa"/>
            <w:shd w:val="clear" w:color="auto" w:fill="D9E2F3" w:themeFill="accent1" w:themeFillTint="33"/>
            <w:vAlign w:val="center"/>
          </w:tcPr>
          <w:p w14:paraId="2509E1ED" w14:textId="77777777" w:rsidR="00D82C18" w:rsidRPr="00F805C6" w:rsidRDefault="00E13BE7" w:rsidP="00F910A3">
            <w:pPr>
              <w:spacing w:before="120" w:after="120" w:line="260" w:lineRule="atLeast"/>
              <w:jc w:val="center"/>
              <w:rPr>
                <w:rFonts w:ascii="Verdana" w:hAnsi="Verdana"/>
                <w:b/>
                <w:sz w:val="20"/>
                <w:szCs w:val="20"/>
              </w:rPr>
            </w:pPr>
            <w:r w:rsidRPr="00F805C6">
              <w:rPr>
                <w:rFonts w:ascii="Verdana" w:hAnsi="Verdana"/>
                <w:b/>
                <w:bCs/>
                <w:sz w:val="20"/>
                <w:szCs w:val="20"/>
                <w:lang w:val="tr"/>
              </w:rPr>
              <w:t>Slayt Numaraları</w:t>
            </w:r>
          </w:p>
        </w:tc>
        <w:tc>
          <w:tcPr>
            <w:tcW w:w="7485" w:type="dxa"/>
            <w:gridSpan w:val="2"/>
            <w:shd w:val="clear" w:color="auto" w:fill="D9E2F3" w:themeFill="accent1" w:themeFillTint="33"/>
            <w:vAlign w:val="center"/>
          </w:tcPr>
          <w:p w14:paraId="072CF4BA" w14:textId="77777777" w:rsidR="00D82C18" w:rsidRPr="00F805C6" w:rsidRDefault="00E13BE7" w:rsidP="00F910A3">
            <w:pPr>
              <w:spacing w:before="120" w:after="120" w:line="260" w:lineRule="atLeast"/>
              <w:rPr>
                <w:rFonts w:ascii="Verdana" w:hAnsi="Verdana"/>
                <w:b/>
                <w:sz w:val="20"/>
                <w:szCs w:val="20"/>
              </w:rPr>
            </w:pPr>
            <w:r w:rsidRPr="00F805C6">
              <w:rPr>
                <w:rFonts w:ascii="Verdana" w:hAnsi="Verdana"/>
                <w:b/>
                <w:bCs/>
                <w:sz w:val="20"/>
                <w:szCs w:val="20"/>
                <w:lang w:val="tr"/>
              </w:rPr>
              <w:t>İçerik</w:t>
            </w:r>
          </w:p>
        </w:tc>
      </w:tr>
      <w:tr w:rsidR="00F1574D" w:rsidRPr="00D82C18" w14:paraId="254CDAE9" w14:textId="77777777" w:rsidTr="000F04E4">
        <w:trPr>
          <w:trHeight w:val="591"/>
        </w:trPr>
        <w:tc>
          <w:tcPr>
            <w:tcW w:w="1525" w:type="dxa"/>
            <w:vAlign w:val="center"/>
          </w:tcPr>
          <w:p w14:paraId="5DEAEF12" w14:textId="77777777" w:rsidR="00D82C18" w:rsidRDefault="003630ED" w:rsidP="00F910A3">
            <w:pPr>
              <w:spacing w:before="120" w:after="120" w:line="260" w:lineRule="atLeast"/>
              <w:jc w:val="center"/>
              <w:rPr>
                <w:rFonts w:ascii="Verdana" w:hAnsi="Verdana"/>
                <w:sz w:val="18"/>
                <w:szCs w:val="18"/>
              </w:rPr>
            </w:pPr>
            <w:r>
              <w:rPr>
                <w:rFonts w:ascii="Verdana" w:hAnsi="Verdana"/>
                <w:sz w:val="18"/>
                <w:szCs w:val="18"/>
                <w:lang w:val="tr"/>
              </w:rPr>
              <w:t>1-4</w:t>
            </w:r>
          </w:p>
          <w:p w14:paraId="18E27AE1" w14:textId="77777777" w:rsidR="00F1574D" w:rsidRPr="00F62A15" w:rsidRDefault="00F1574D" w:rsidP="00F910A3">
            <w:pPr>
              <w:spacing w:before="120" w:after="120" w:line="260" w:lineRule="atLeast"/>
              <w:jc w:val="center"/>
              <w:rPr>
                <w:rFonts w:ascii="Verdana" w:hAnsi="Verdana"/>
                <w:sz w:val="18"/>
                <w:szCs w:val="18"/>
              </w:rPr>
            </w:pPr>
            <w:r>
              <w:rPr>
                <w:rFonts w:ascii="Verdana" w:hAnsi="Verdana"/>
                <w:sz w:val="18"/>
                <w:szCs w:val="18"/>
                <w:lang w:val="tr"/>
              </w:rPr>
              <w:t xml:space="preserve">Zorunlu </w:t>
            </w:r>
            <w:r>
              <w:rPr>
                <w:rFonts w:ascii="Verdana" w:hAnsi="Verdana"/>
                <w:sz w:val="18"/>
                <w:szCs w:val="18"/>
                <w:lang w:val="tr"/>
              </w:rPr>
              <w:lastRenderedPageBreak/>
              <w:t>Slaytlar</w:t>
            </w:r>
          </w:p>
        </w:tc>
        <w:tc>
          <w:tcPr>
            <w:tcW w:w="7485" w:type="dxa"/>
            <w:gridSpan w:val="2"/>
            <w:vAlign w:val="center"/>
          </w:tcPr>
          <w:p w14:paraId="4390CE73" w14:textId="77777777" w:rsidR="00556D69" w:rsidRPr="00C70C5C" w:rsidRDefault="00556D69" w:rsidP="00F910A3">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lastRenderedPageBreak/>
              <w:t xml:space="preserve">Açılış slaytları oturumun giriş kısmıdır ve gündemi ve oturum amaç ve hedeflerini içerir. </w:t>
            </w:r>
          </w:p>
        </w:tc>
      </w:tr>
      <w:tr w:rsidR="00F1574D" w:rsidRPr="00D82C18" w14:paraId="604DA183" w14:textId="77777777" w:rsidTr="00F1574D">
        <w:trPr>
          <w:trHeight w:val="1880"/>
        </w:trPr>
        <w:tc>
          <w:tcPr>
            <w:tcW w:w="1525" w:type="dxa"/>
            <w:vAlign w:val="center"/>
          </w:tcPr>
          <w:p w14:paraId="1076DAEA" w14:textId="77777777" w:rsidR="00D82C18" w:rsidRDefault="00C70C5C" w:rsidP="00F910A3">
            <w:pPr>
              <w:spacing w:before="120" w:after="120" w:line="260" w:lineRule="atLeast"/>
              <w:jc w:val="center"/>
              <w:rPr>
                <w:rFonts w:ascii="Verdana" w:hAnsi="Verdana"/>
                <w:sz w:val="18"/>
                <w:szCs w:val="18"/>
              </w:rPr>
            </w:pPr>
            <w:r>
              <w:rPr>
                <w:rFonts w:ascii="Verdana" w:hAnsi="Verdana"/>
                <w:sz w:val="18"/>
                <w:szCs w:val="18"/>
                <w:lang w:val="tr"/>
              </w:rPr>
              <w:t>5-12</w:t>
            </w:r>
          </w:p>
          <w:p w14:paraId="3AB8F450" w14:textId="77777777" w:rsidR="00F1574D" w:rsidRPr="003630ED" w:rsidRDefault="00BA7368" w:rsidP="00F910A3">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64816878" w14:textId="77777777" w:rsidR="0062475C" w:rsidRPr="0062475C" w:rsidRDefault="00881F77" w:rsidP="00F910A3">
            <w:pPr>
              <w:pStyle w:val="Subtitle"/>
              <w:spacing w:before="120" w:line="260" w:lineRule="atLeast"/>
              <w:rPr>
                <w:rFonts w:ascii="Verdana" w:eastAsia="Times New Roman" w:hAnsi="Verdana"/>
                <w:szCs w:val="18"/>
              </w:rPr>
            </w:pPr>
            <w:r>
              <w:rPr>
                <w:rFonts w:ascii="Verdana" w:eastAsia="Times New Roman" w:hAnsi="Verdana"/>
                <w:iCs w:val="0"/>
                <w:szCs w:val="18"/>
                <w:lang w:val="tr"/>
              </w:rPr>
              <w:t xml:space="preserve">Bu slaytlarda Budapeşte Sözleşmesinin kapsamı ve erişim alanı hakkında fikir verilmektedir. </w:t>
            </w:r>
          </w:p>
          <w:p w14:paraId="5391A167" w14:textId="77777777" w:rsidR="0062475C" w:rsidRPr="0062475C" w:rsidRDefault="0062475C" w:rsidP="00F910A3">
            <w:pPr>
              <w:pStyle w:val="Subtitle"/>
              <w:spacing w:before="120" w:line="260" w:lineRule="atLeast"/>
              <w:rPr>
                <w:rFonts w:ascii="Verdana" w:eastAsia="Times New Roman" w:hAnsi="Verdana"/>
                <w:szCs w:val="18"/>
              </w:rPr>
            </w:pPr>
            <w:r>
              <w:rPr>
                <w:rFonts w:ascii="Verdana" w:eastAsia="Times New Roman" w:hAnsi="Verdana"/>
                <w:iCs w:val="0"/>
                <w:szCs w:val="18"/>
                <w:lang w:val="tr"/>
              </w:rPr>
              <w:t xml:space="preserve">İlk birkaç slaytta, </w:t>
            </w:r>
            <w:r w:rsidR="00110B25">
              <w:rPr>
                <w:rFonts w:ascii="Verdana" w:eastAsia="Times New Roman" w:hAnsi="Verdana"/>
                <w:iCs w:val="0"/>
                <w:szCs w:val="18"/>
                <w:lang w:val="tr"/>
              </w:rPr>
              <w:t>eğiticin</w:t>
            </w:r>
            <w:r>
              <w:rPr>
                <w:rFonts w:ascii="Verdana" w:eastAsia="Times New Roman" w:hAnsi="Verdana"/>
                <w:iCs w:val="0"/>
                <w:szCs w:val="18"/>
                <w:lang w:val="tr"/>
              </w:rPr>
              <w:t xml:space="preserve">in sonraki oturumlarda detaylı olarak ele alınacağından bahsetmesi gereken Budapeşte Sözleşmesinin “üç ayağı” (fiillerin suç sayılması, usule ilişkin araçlar ve uluslararası işbirliği) gösterilmektedir. </w:t>
            </w:r>
          </w:p>
          <w:p w14:paraId="14E9D625" w14:textId="77777777" w:rsidR="0062475C" w:rsidRPr="0062475C" w:rsidRDefault="0062475C" w:rsidP="00F910A3">
            <w:pPr>
              <w:pStyle w:val="Subtitle"/>
              <w:spacing w:before="120" w:line="260" w:lineRule="atLeast"/>
              <w:rPr>
                <w:rFonts w:ascii="Verdana" w:eastAsia="Times New Roman" w:hAnsi="Verdana"/>
                <w:szCs w:val="18"/>
              </w:rPr>
            </w:pPr>
            <w:r>
              <w:rPr>
                <w:rFonts w:ascii="Verdana" w:eastAsia="Times New Roman" w:hAnsi="Verdana"/>
                <w:iCs w:val="0"/>
                <w:szCs w:val="18"/>
                <w:lang w:val="tr"/>
              </w:rPr>
              <w:t>Sonraki slaytlarda, Avrupa Konseyinin yaklaşımına ve Siber Suçlar Program Ofisinin (C-PROC) 2014'te faaliyete geçmesinden bu yana hayata geçirilen çeşitli projelere bakılmaktadır.</w:t>
            </w:r>
          </w:p>
          <w:p w14:paraId="69C9083B" w14:textId="77777777" w:rsidR="0062475C" w:rsidRPr="0062475C" w:rsidRDefault="0062475C" w:rsidP="00F910A3">
            <w:pPr>
              <w:spacing w:before="120" w:after="120" w:line="260" w:lineRule="atLeast"/>
              <w:jc w:val="both"/>
            </w:pPr>
            <w:r>
              <w:rPr>
                <w:rFonts w:ascii="Verdana" w:hAnsi="Verdana"/>
                <w:sz w:val="18"/>
                <w:szCs w:val="18"/>
                <w:lang w:val="tr"/>
              </w:rPr>
              <w:t>Son slaytta Budapeşte Sözleşmesini onaylayan devletlerin toplam sayısı hakkında bilgi verilerek Budapeşte Sözleşmesinin erişim alanı da vurgulanmaktadır.</w:t>
            </w:r>
          </w:p>
        </w:tc>
      </w:tr>
      <w:tr w:rsidR="00F1574D" w:rsidRPr="00F910A3" w14:paraId="6C387112" w14:textId="77777777" w:rsidTr="00F1574D">
        <w:trPr>
          <w:trHeight w:val="1916"/>
        </w:trPr>
        <w:tc>
          <w:tcPr>
            <w:tcW w:w="1525" w:type="dxa"/>
            <w:vAlign w:val="center"/>
          </w:tcPr>
          <w:p w14:paraId="1D3A15E1" w14:textId="77777777" w:rsidR="00556D69" w:rsidRPr="0084446A" w:rsidRDefault="00AF10FC" w:rsidP="00F910A3">
            <w:pPr>
              <w:spacing w:before="120" w:after="120" w:line="260" w:lineRule="atLeast"/>
              <w:jc w:val="center"/>
              <w:rPr>
                <w:rFonts w:ascii="Verdana" w:hAnsi="Verdana"/>
                <w:sz w:val="18"/>
                <w:szCs w:val="18"/>
              </w:rPr>
            </w:pPr>
            <w:r>
              <w:rPr>
                <w:rFonts w:ascii="Verdana" w:hAnsi="Verdana"/>
                <w:sz w:val="18"/>
                <w:szCs w:val="18"/>
                <w:lang w:val="tr"/>
              </w:rPr>
              <w:t>13-25</w:t>
            </w:r>
          </w:p>
          <w:p w14:paraId="586612CE" w14:textId="77777777" w:rsidR="00F1574D" w:rsidRPr="0084446A" w:rsidRDefault="00A55067" w:rsidP="00F910A3">
            <w:pPr>
              <w:spacing w:before="120" w:after="120" w:line="260" w:lineRule="atLeast"/>
              <w:jc w:val="center"/>
              <w:rPr>
                <w:rFonts w:ascii="Verdana" w:hAnsi="Verdana"/>
                <w:sz w:val="18"/>
                <w:szCs w:val="18"/>
              </w:rPr>
            </w:pPr>
            <w:r>
              <w:rPr>
                <w:rFonts w:ascii="Verdana" w:hAnsi="Verdana"/>
                <w:sz w:val="18"/>
                <w:szCs w:val="18"/>
                <w:lang w:val="tr"/>
              </w:rPr>
              <w:t>Önemli Slaytlar</w:t>
            </w:r>
          </w:p>
        </w:tc>
        <w:tc>
          <w:tcPr>
            <w:tcW w:w="7485" w:type="dxa"/>
            <w:gridSpan w:val="2"/>
            <w:vAlign w:val="center"/>
          </w:tcPr>
          <w:p w14:paraId="5EEC6045" w14:textId="77777777" w:rsidR="00C70C5C" w:rsidRPr="00F910A3" w:rsidRDefault="0084446A" w:rsidP="00F910A3">
            <w:pPr>
              <w:spacing w:before="120" w:after="120" w:line="260" w:lineRule="atLeast"/>
              <w:jc w:val="both"/>
              <w:rPr>
                <w:rFonts w:ascii="Verdana" w:hAnsi="Verdana"/>
                <w:sz w:val="18"/>
                <w:szCs w:val="18"/>
                <w:lang w:val="tr"/>
              </w:rPr>
            </w:pPr>
            <w:r>
              <w:rPr>
                <w:rFonts w:ascii="Verdana" w:hAnsi="Verdana"/>
                <w:sz w:val="18"/>
                <w:szCs w:val="18"/>
                <w:lang w:val="tr"/>
              </w:rPr>
              <w:t xml:space="preserve">Bu slaytlarda, bir siber suç antlaşmasının temel unsurları ele alınmaktadır. Bu slaytların amacı, Budapeşte Sözleşmesinin bir siber suç antlaşmasının tüm temel unsurlarını içeren tek küresel siber suç anlaşması olduğunu anlatmaktır. </w:t>
            </w:r>
          </w:p>
          <w:p w14:paraId="2D362570" w14:textId="77777777" w:rsidR="00637AFB" w:rsidRPr="00F910A3" w:rsidRDefault="00D669F8" w:rsidP="00F910A3">
            <w:pPr>
              <w:spacing w:before="120" w:after="120" w:line="260" w:lineRule="atLeast"/>
              <w:jc w:val="both"/>
              <w:rPr>
                <w:rFonts w:ascii="Verdana" w:hAnsi="Verdana"/>
                <w:sz w:val="18"/>
                <w:szCs w:val="18"/>
                <w:lang w:val="tr"/>
              </w:rPr>
            </w:pPr>
            <w:r>
              <w:rPr>
                <w:rFonts w:ascii="Verdana" w:hAnsi="Verdana"/>
                <w:sz w:val="18"/>
                <w:szCs w:val="18"/>
                <w:lang w:val="tr"/>
              </w:rPr>
              <w:t xml:space="preserve">İlk slayt setinde, UNODC sözleşmeleri (UNCTOC ve UNCAC), Şangay İşbirliği Örgütü (Bilgi Güvenliği Alanında İşbirliği Anlaşması), İngiliz Milletler Topluluğu (Bilgisayar ve Bilgisayarla İlgili Suçlar Örnek Yasası ve İngiliz Milletler Topluluğunda Cezai Konularda Karşılıklı Yardım Programı - Harare Programı), ITU Örnek Yasaları (ICT4PAC/SADC/HIPCAR Örnek Yasaları), Afrika Birliği (Malabo Siber Güvenlik ve Kişisel Verilerin Korunması Sözleşmesi) ve Arap Birliği (Bilgi Teknolojisi Suçlarıyla Mücadele Sözleşmesi) sözleşmelerini içeren uluslararası görünüme dair üst düzey bir genel bakış sunulmaktadır. Slaytlarda daha sonra bu dokümanların siber suçlarla mücadele ve elektronik deliller bakımından kapsamlı olup olmadığı ana hatlarıyla ele alınmaktadır. </w:t>
            </w:r>
            <w:r w:rsidR="00110B25">
              <w:rPr>
                <w:rFonts w:ascii="Verdana" w:hAnsi="Verdana"/>
                <w:sz w:val="18"/>
                <w:szCs w:val="18"/>
                <w:lang w:val="tr"/>
              </w:rPr>
              <w:t>Eğitici</w:t>
            </w:r>
            <w:r>
              <w:rPr>
                <w:rFonts w:ascii="Verdana" w:hAnsi="Verdana"/>
                <w:sz w:val="18"/>
                <w:szCs w:val="18"/>
                <w:lang w:val="tr"/>
              </w:rPr>
              <w:t xml:space="preserve">, pasta grafiklerini gözden geçirmelidir. Bir dilim sarı renkteyse bu, dokümanda o unsurun yeterince ele alındığı anlamına gelir. Bir dilim noktalı kırmızı renkteyse, bu, dokümanda o unsurun en azından kısmen ele alındığı anlamına gelir. Bir dilim beyazsa, o unsurun dokümanda ele alınmadığı anlamına gelir. Burada </w:t>
            </w:r>
            <w:r w:rsidR="00110B25">
              <w:rPr>
                <w:rFonts w:ascii="Verdana" w:hAnsi="Verdana"/>
                <w:sz w:val="18"/>
                <w:szCs w:val="18"/>
                <w:lang w:val="tr"/>
              </w:rPr>
              <w:t>eğiticin</w:t>
            </w:r>
            <w:r>
              <w:rPr>
                <w:rFonts w:ascii="Verdana" w:hAnsi="Verdana"/>
                <w:sz w:val="18"/>
                <w:szCs w:val="18"/>
                <w:lang w:val="tr"/>
              </w:rPr>
              <w:t>in bu dokümanların değer getirebileceğini ve Budapeşte Sözleşmesini tamamlayabileceğini vurgulaması önemlidir.</w:t>
            </w:r>
          </w:p>
          <w:p w14:paraId="11470285" w14:textId="77777777" w:rsidR="00AF10FC" w:rsidRPr="00F910A3" w:rsidRDefault="00AF10FC" w:rsidP="00F910A3">
            <w:pPr>
              <w:spacing w:before="120" w:after="120" w:line="260" w:lineRule="atLeast"/>
              <w:jc w:val="both"/>
              <w:rPr>
                <w:rFonts w:ascii="Verdana" w:hAnsi="Verdana"/>
                <w:sz w:val="18"/>
                <w:szCs w:val="18"/>
                <w:lang w:val="fr-FR"/>
              </w:rPr>
            </w:pPr>
            <w:r>
              <w:rPr>
                <w:rFonts w:ascii="Verdana" w:hAnsi="Verdana"/>
                <w:sz w:val="18"/>
                <w:szCs w:val="18"/>
                <w:lang w:val="tr"/>
              </w:rPr>
              <w:t xml:space="preserve">Bu kısım iki tane soruyla sona erer. </w:t>
            </w:r>
          </w:p>
        </w:tc>
      </w:tr>
      <w:tr w:rsidR="00F1574D" w:rsidRPr="00D82C18" w14:paraId="06BB35FD" w14:textId="77777777" w:rsidTr="00F1574D">
        <w:trPr>
          <w:trHeight w:val="791"/>
        </w:trPr>
        <w:tc>
          <w:tcPr>
            <w:tcW w:w="1525" w:type="dxa"/>
            <w:vAlign w:val="center"/>
          </w:tcPr>
          <w:p w14:paraId="4C56A7B0" w14:textId="77777777" w:rsidR="00556D69" w:rsidRDefault="00AF10FC" w:rsidP="00F910A3">
            <w:pPr>
              <w:spacing w:before="120" w:after="120" w:line="260" w:lineRule="atLeast"/>
              <w:jc w:val="center"/>
              <w:rPr>
                <w:rFonts w:ascii="Verdana" w:hAnsi="Verdana"/>
                <w:sz w:val="18"/>
                <w:szCs w:val="18"/>
              </w:rPr>
            </w:pPr>
            <w:r>
              <w:rPr>
                <w:rFonts w:ascii="Verdana" w:hAnsi="Verdana"/>
                <w:sz w:val="18"/>
                <w:szCs w:val="18"/>
                <w:lang w:val="tr"/>
              </w:rPr>
              <w:t>26-38</w:t>
            </w:r>
          </w:p>
          <w:p w14:paraId="336BF75C" w14:textId="77777777" w:rsidR="00C70C5C" w:rsidRDefault="00C70C5C" w:rsidP="00F910A3">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4FFD57E4" w14:textId="77777777" w:rsidR="00C70C5C" w:rsidRPr="00F910A3" w:rsidRDefault="00D57822" w:rsidP="00F910A3">
            <w:pPr>
              <w:spacing w:before="120" w:after="120" w:line="260" w:lineRule="atLeast"/>
              <w:jc w:val="both"/>
              <w:rPr>
                <w:rFonts w:ascii="Verdana" w:eastAsia="Times New Roman" w:hAnsi="Verdana" w:cstheme="majorBidi"/>
                <w:iCs/>
                <w:color w:val="000000" w:themeColor="text1"/>
                <w:sz w:val="18"/>
                <w:lang w:val="tr"/>
              </w:rPr>
            </w:pPr>
            <w:r>
              <w:rPr>
                <w:rFonts w:ascii="Verdana" w:eastAsia="Times New Roman" w:hAnsi="Verdana" w:cstheme="majorBidi"/>
                <w:color w:val="000000" w:themeColor="text1"/>
                <w:sz w:val="18"/>
                <w:lang w:val="tr"/>
              </w:rPr>
              <w:t>Bu slaytlarda Budapeşte Sözleşmesinin başlıca faydaları ele alınmaktadır. Bu slaytlar, T-CY'nin Budapeşte Sözleşmesinin faydaları ve etkileri hakkındaki raporuna dayanmaktadır.</w:t>
            </w:r>
          </w:p>
          <w:p w14:paraId="4521AD01" w14:textId="77777777" w:rsidR="00D57822" w:rsidRPr="00F910A3" w:rsidRDefault="00D57822" w:rsidP="00F910A3">
            <w:pPr>
              <w:spacing w:before="120" w:after="120" w:line="260" w:lineRule="atLeast"/>
              <w:jc w:val="both"/>
              <w:rPr>
                <w:rFonts w:ascii="Verdana" w:eastAsia="Times New Roman" w:hAnsi="Verdana" w:cstheme="majorBidi"/>
                <w:iCs/>
                <w:color w:val="000000" w:themeColor="text1"/>
                <w:sz w:val="18"/>
                <w:lang w:val="tr"/>
              </w:rPr>
            </w:pPr>
            <w:r>
              <w:rPr>
                <w:rFonts w:ascii="Verdana" w:eastAsia="Times New Roman" w:hAnsi="Verdana" w:cstheme="majorBidi"/>
                <w:color w:val="000000" w:themeColor="text1"/>
                <w:sz w:val="18"/>
                <w:lang w:val="tr"/>
              </w:rPr>
              <w:t xml:space="preserve">İlk slayt, raporda ana hatlarıyla belirtilen başlıca faydaların ve etkilerin özetlendiği kısa bir Avrupa Konseyi videosu içermektedir. </w:t>
            </w:r>
          </w:p>
          <w:p w14:paraId="37F6DDC6" w14:textId="77777777" w:rsidR="009E1A27" w:rsidRPr="00F910A3" w:rsidRDefault="009E1A27" w:rsidP="00F910A3">
            <w:pPr>
              <w:spacing w:before="120" w:after="120" w:line="260" w:lineRule="atLeast"/>
              <w:jc w:val="both"/>
              <w:rPr>
                <w:rFonts w:ascii="Verdana" w:eastAsia="Times New Roman" w:hAnsi="Verdana" w:cstheme="majorBidi"/>
                <w:iCs/>
                <w:color w:val="000000" w:themeColor="text1"/>
                <w:sz w:val="18"/>
                <w:lang w:val="tr"/>
              </w:rPr>
            </w:pPr>
            <w:r>
              <w:rPr>
                <w:rFonts w:ascii="Verdana" w:eastAsia="Times New Roman" w:hAnsi="Verdana" w:cstheme="majorBidi"/>
                <w:color w:val="000000" w:themeColor="text1"/>
                <w:sz w:val="18"/>
                <w:lang w:val="tr"/>
              </w:rPr>
              <w:t xml:space="preserve">Sonraki slayt setinde, Budapeşte Sözleşmesinin ulusal mevzuatın iyileştirilmesine, yerel soruşturmaların geliştirilmesine, uluslararası işbirliğinin kolaylaştırılmasına ve kapasite geliştirmeye nasıl yol açtığı açıklanmaktadır. </w:t>
            </w:r>
          </w:p>
          <w:p w14:paraId="14A6C9AD" w14:textId="77777777" w:rsidR="00AF10FC" w:rsidRPr="00F910A3" w:rsidRDefault="00AF10FC" w:rsidP="00F910A3">
            <w:pPr>
              <w:spacing w:before="120" w:after="120" w:line="260" w:lineRule="atLeast"/>
              <w:jc w:val="both"/>
              <w:rPr>
                <w:rFonts w:ascii="Verdana" w:eastAsia="Times New Roman" w:hAnsi="Verdana" w:cstheme="majorBidi"/>
                <w:iCs/>
                <w:color w:val="000000" w:themeColor="text1"/>
                <w:sz w:val="18"/>
                <w:lang w:val="tr"/>
              </w:rPr>
            </w:pPr>
            <w:r>
              <w:rPr>
                <w:rFonts w:ascii="Verdana" w:eastAsia="Times New Roman" w:hAnsi="Verdana" w:cstheme="majorBidi"/>
                <w:color w:val="000000" w:themeColor="text1"/>
                <w:sz w:val="18"/>
                <w:lang w:val="tr"/>
              </w:rPr>
              <w:t xml:space="preserve">Bu slaytlarda ayrıca Budapeşte Sözleşmesinin erişim alanının 150'den fazla ülkeyi kapsadığı da açıklanmaktadır. </w:t>
            </w:r>
          </w:p>
          <w:p w14:paraId="5D93B608" w14:textId="77777777" w:rsidR="00AF10FC" w:rsidRPr="00C70C5C" w:rsidRDefault="00AF10FC" w:rsidP="00F910A3">
            <w:pPr>
              <w:spacing w:before="120" w:after="120" w:line="260" w:lineRule="atLeast"/>
              <w:jc w:val="both"/>
              <w:rPr>
                <w:rFonts w:ascii="Verdana" w:eastAsia="Times New Roman" w:hAnsi="Verdana" w:cstheme="majorBidi"/>
                <w:iCs/>
                <w:color w:val="000000" w:themeColor="text1"/>
                <w:sz w:val="18"/>
              </w:rPr>
            </w:pPr>
            <w:r>
              <w:rPr>
                <w:rFonts w:ascii="Verdana" w:hAnsi="Verdana"/>
                <w:sz w:val="18"/>
                <w:szCs w:val="18"/>
                <w:lang w:val="tr"/>
              </w:rPr>
              <w:t>Bu kısım bir tane soruyla sona erer.</w:t>
            </w:r>
          </w:p>
        </w:tc>
      </w:tr>
      <w:tr w:rsidR="00F1574D" w:rsidRPr="00D82C18" w14:paraId="04C3FFCD" w14:textId="77777777" w:rsidTr="00F1574D">
        <w:trPr>
          <w:trHeight w:val="890"/>
        </w:trPr>
        <w:tc>
          <w:tcPr>
            <w:tcW w:w="1525" w:type="dxa"/>
            <w:vAlign w:val="center"/>
          </w:tcPr>
          <w:p w14:paraId="5712DFA9" w14:textId="77777777" w:rsidR="00556D69" w:rsidRDefault="00AF10FC" w:rsidP="00F910A3">
            <w:pPr>
              <w:spacing w:before="120" w:after="120" w:line="260" w:lineRule="atLeast"/>
              <w:jc w:val="center"/>
              <w:rPr>
                <w:rFonts w:ascii="Verdana" w:hAnsi="Verdana"/>
                <w:sz w:val="18"/>
                <w:szCs w:val="18"/>
              </w:rPr>
            </w:pPr>
            <w:r>
              <w:rPr>
                <w:rFonts w:ascii="Verdana" w:hAnsi="Verdana"/>
                <w:sz w:val="18"/>
                <w:szCs w:val="18"/>
                <w:lang w:val="tr"/>
              </w:rPr>
              <w:t>39-78</w:t>
            </w:r>
          </w:p>
          <w:p w14:paraId="0A1B2B71" w14:textId="77777777" w:rsidR="00F1574D" w:rsidRPr="003F6587" w:rsidRDefault="00F1574D" w:rsidP="00F910A3">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4F5E47BF" w14:textId="77777777" w:rsidR="00556D69" w:rsidRPr="00F910A3" w:rsidRDefault="004B3289" w:rsidP="00F910A3">
            <w:pPr>
              <w:spacing w:before="120" w:after="120" w:line="260" w:lineRule="atLeast"/>
              <w:jc w:val="both"/>
              <w:rPr>
                <w:rFonts w:ascii="Verdana" w:hAnsi="Verdana"/>
                <w:color w:val="000000" w:themeColor="text1"/>
                <w:sz w:val="18"/>
                <w:szCs w:val="18"/>
                <w:lang w:val="tr"/>
              </w:rPr>
            </w:pPr>
            <w:r>
              <w:rPr>
                <w:rFonts w:ascii="Verdana" w:hAnsi="Verdana"/>
                <w:sz w:val="18"/>
                <w:szCs w:val="18"/>
                <w:lang w:val="tr"/>
              </w:rPr>
              <w:t xml:space="preserve">Bu slaytlarda Budapeşte Sözleşmesi hakkındaki "doğru sanılan yanlışlar" veya yanlış kanılar belirlenmekte ve bunların doğrusu açıklanmaktadır. Slaytlarda, Budapeşte Sözleşmesinin bölgesel ve Avrupa merkezli olduğu, Budapeşte Sözleşmesinin güncel olmadığı, Budapeşte Sözleşmesinin sınırlı sayıda ülke tarafından hazırlandığı, Budapeşte Sözleşmesinin altyapı ülkelerinin lehine </w:t>
            </w:r>
            <w:r>
              <w:rPr>
                <w:rFonts w:ascii="Verdana" w:hAnsi="Verdana"/>
                <w:sz w:val="18"/>
                <w:szCs w:val="18"/>
                <w:lang w:val="tr"/>
              </w:rPr>
              <w:lastRenderedPageBreak/>
              <w:t xml:space="preserve">olduğu, Budapeşte Sözleşmesinin diğer ülkelere verilere sınırsız ve otomatik erişim imkanı sağladığı, Budapeşte Sözleşmesinin sınırlı bir suç kapsamının olduğu ve Budapeşte Sözleşmesinin yalnızca bir siber suç antlaşması olduğuna dair yanlış kanılar ele alınmaktadır. </w:t>
            </w:r>
          </w:p>
          <w:p w14:paraId="6EF33EFA" w14:textId="77777777" w:rsidR="00AF10FC" w:rsidRPr="006527C6" w:rsidRDefault="00AF10FC" w:rsidP="00F910A3">
            <w:pPr>
              <w:spacing w:before="120" w:after="120" w:line="260" w:lineRule="atLeast"/>
              <w:jc w:val="both"/>
              <w:rPr>
                <w:rFonts w:ascii="Verdana" w:hAnsi="Verdana"/>
                <w:sz w:val="18"/>
                <w:szCs w:val="18"/>
              </w:rPr>
            </w:pPr>
            <w:r>
              <w:rPr>
                <w:rFonts w:ascii="Verdana" w:hAnsi="Verdana"/>
                <w:sz w:val="18"/>
                <w:szCs w:val="18"/>
                <w:lang w:val="tr"/>
              </w:rPr>
              <w:t>Bu kısım bir tane soruyla sona erer.</w:t>
            </w:r>
          </w:p>
        </w:tc>
      </w:tr>
      <w:tr w:rsidR="00F1574D" w:rsidRPr="00D82C18" w14:paraId="08282AFF" w14:textId="77777777" w:rsidTr="00F1574D">
        <w:trPr>
          <w:trHeight w:val="1259"/>
        </w:trPr>
        <w:tc>
          <w:tcPr>
            <w:tcW w:w="1525" w:type="dxa"/>
            <w:vAlign w:val="center"/>
          </w:tcPr>
          <w:p w14:paraId="6E38FC10" w14:textId="77777777" w:rsidR="00556D69" w:rsidRDefault="00AF10FC" w:rsidP="00F910A3">
            <w:pPr>
              <w:spacing w:before="120" w:after="120" w:line="260" w:lineRule="atLeast"/>
              <w:jc w:val="center"/>
              <w:rPr>
                <w:rFonts w:ascii="Verdana" w:hAnsi="Verdana"/>
                <w:sz w:val="18"/>
                <w:szCs w:val="18"/>
              </w:rPr>
            </w:pPr>
            <w:r>
              <w:rPr>
                <w:rFonts w:ascii="Verdana" w:hAnsi="Verdana"/>
                <w:sz w:val="18"/>
                <w:szCs w:val="18"/>
                <w:lang w:val="tr"/>
              </w:rPr>
              <w:lastRenderedPageBreak/>
              <w:t>79-80</w:t>
            </w:r>
          </w:p>
          <w:p w14:paraId="1B2AF28B" w14:textId="77777777" w:rsidR="00F1574D" w:rsidRPr="006527C6" w:rsidRDefault="00F1574D" w:rsidP="00F910A3">
            <w:pPr>
              <w:spacing w:before="120" w:after="120" w:line="260" w:lineRule="atLeast"/>
              <w:jc w:val="center"/>
              <w:rPr>
                <w:rFonts w:ascii="Verdana" w:hAnsi="Verdana"/>
                <w:sz w:val="18"/>
                <w:szCs w:val="18"/>
              </w:rPr>
            </w:pPr>
            <w:r>
              <w:rPr>
                <w:rFonts w:ascii="Verdana" w:hAnsi="Verdana"/>
                <w:sz w:val="18"/>
                <w:szCs w:val="18"/>
                <w:lang w:val="tr"/>
              </w:rPr>
              <w:t>Önemli Slaytlar</w:t>
            </w:r>
          </w:p>
        </w:tc>
        <w:tc>
          <w:tcPr>
            <w:tcW w:w="7485" w:type="dxa"/>
            <w:gridSpan w:val="2"/>
            <w:vAlign w:val="center"/>
          </w:tcPr>
          <w:p w14:paraId="59A7745E" w14:textId="77777777" w:rsidR="00314D32" w:rsidRPr="00314D32" w:rsidRDefault="00110B25" w:rsidP="00F910A3">
            <w:pPr>
              <w:pStyle w:val="Subtitle"/>
              <w:spacing w:before="120" w:line="260" w:lineRule="atLeast"/>
            </w:pPr>
            <w:r>
              <w:rPr>
                <w:rFonts w:ascii="Verdana" w:eastAsia="Times New Roman" w:hAnsi="Verdana" w:cs="Times New Roman"/>
                <w:iCs w:val="0"/>
                <w:szCs w:val="18"/>
                <w:lang w:val="tr"/>
              </w:rPr>
              <w:t>Eğitici</w:t>
            </w:r>
            <w:r w:rsidR="004B3289">
              <w:rPr>
                <w:rFonts w:ascii="Verdana" w:eastAsia="Times New Roman" w:hAnsi="Verdana" w:cs="Times New Roman"/>
                <w:iCs w:val="0"/>
                <w:szCs w:val="18"/>
                <w:lang w:val="tr"/>
              </w:rPr>
              <w:t xml:space="preserve"> </w:t>
            </w:r>
            <w:r>
              <w:rPr>
                <w:rFonts w:ascii="Verdana" w:eastAsia="Times New Roman" w:hAnsi="Verdana" w:cs="Times New Roman"/>
                <w:iCs w:val="0"/>
                <w:szCs w:val="18"/>
                <w:lang w:val="tr"/>
              </w:rPr>
              <w:t>katılımcılarla</w:t>
            </w:r>
            <w:r w:rsidR="004B3289">
              <w:rPr>
                <w:rFonts w:ascii="Verdana" w:eastAsia="Times New Roman" w:hAnsi="Verdana" w:cs="Times New Roman"/>
                <w:iCs w:val="0"/>
                <w:szCs w:val="18"/>
                <w:lang w:val="tr"/>
              </w:rPr>
              <w:t xml:space="preserve"> birlikte oturum hedeflerini tekrarlamalı ve bu modülde işlenen materyallerle ilgili sorular sormaları için fırsat vermelidir.</w:t>
            </w:r>
          </w:p>
        </w:tc>
      </w:tr>
      <w:tr w:rsidR="00CB3026" w:rsidRPr="00D82C18" w14:paraId="189E75CB" w14:textId="77777777" w:rsidTr="00F1574D">
        <w:trPr>
          <w:trHeight w:val="890"/>
        </w:trPr>
        <w:tc>
          <w:tcPr>
            <w:tcW w:w="9010" w:type="dxa"/>
            <w:gridSpan w:val="3"/>
            <w:vAlign w:val="center"/>
          </w:tcPr>
          <w:p w14:paraId="08061AE2" w14:textId="77777777" w:rsidR="00CB3026" w:rsidRDefault="00CB3026" w:rsidP="00F910A3">
            <w:pPr>
              <w:spacing w:before="120" w:after="120" w:line="260" w:lineRule="atLeast"/>
              <w:jc w:val="both"/>
              <w:rPr>
                <w:rFonts w:ascii="Verdana" w:hAnsi="Verdana"/>
                <w:b/>
                <w:sz w:val="22"/>
                <w:szCs w:val="22"/>
              </w:rPr>
            </w:pPr>
            <w:r>
              <w:rPr>
                <w:rFonts w:ascii="Verdana" w:hAnsi="Verdana"/>
                <w:b/>
                <w:bCs/>
                <w:sz w:val="22"/>
                <w:szCs w:val="22"/>
                <w:lang w:val="tr"/>
              </w:rPr>
              <w:t xml:space="preserve">Uygulamalı </w:t>
            </w:r>
            <w:r w:rsidR="00C5358D">
              <w:rPr>
                <w:rFonts w:ascii="Verdana" w:hAnsi="Verdana"/>
                <w:b/>
                <w:bCs/>
                <w:sz w:val="22"/>
                <w:szCs w:val="22"/>
                <w:lang w:val="tr"/>
              </w:rPr>
              <w:t>Egzersizler</w:t>
            </w:r>
          </w:p>
          <w:p w14:paraId="6D4203F3" w14:textId="77777777" w:rsidR="00CB3026" w:rsidRPr="00CB3026" w:rsidRDefault="009B4375" w:rsidP="00F910A3">
            <w:pPr>
              <w:spacing w:before="120" w:after="120" w:line="260" w:lineRule="atLeast"/>
              <w:jc w:val="both"/>
              <w:rPr>
                <w:rFonts w:ascii="Verdana" w:hAnsi="Verdana"/>
                <w:sz w:val="18"/>
                <w:szCs w:val="18"/>
              </w:rPr>
            </w:pPr>
            <w:r>
              <w:rPr>
                <w:rFonts w:ascii="Verdana" w:hAnsi="Verdana"/>
                <w:color w:val="000000" w:themeColor="text1"/>
                <w:sz w:val="18"/>
                <w:szCs w:val="18"/>
                <w:lang w:val="tr"/>
              </w:rPr>
              <w:t xml:space="preserve">Bu ders ile ilgili uygulamalı </w:t>
            </w:r>
            <w:r w:rsidR="00C5358D">
              <w:rPr>
                <w:rFonts w:ascii="Verdana" w:hAnsi="Verdana"/>
                <w:color w:val="000000" w:themeColor="text1"/>
                <w:sz w:val="18"/>
                <w:szCs w:val="18"/>
                <w:lang w:val="tr"/>
              </w:rPr>
              <w:t>egzersiz</w:t>
            </w:r>
            <w:r>
              <w:rPr>
                <w:rFonts w:ascii="Verdana" w:hAnsi="Verdana"/>
                <w:color w:val="000000" w:themeColor="text1"/>
                <w:sz w:val="18"/>
                <w:szCs w:val="18"/>
                <w:lang w:val="tr"/>
              </w:rPr>
              <w:t xml:space="preserve"> yoktur.</w:t>
            </w:r>
          </w:p>
        </w:tc>
      </w:tr>
      <w:tr w:rsidR="00CB3026" w:rsidRPr="00D82C18" w14:paraId="0E946544" w14:textId="77777777" w:rsidTr="00F1574D">
        <w:tc>
          <w:tcPr>
            <w:tcW w:w="9010" w:type="dxa"/>
            <w:gridSpan w:val="3"/>
            <w:vAlign w:val="center"/>
          </w:tcPr>
          <w:p w14:paraId="1219B19C" w14:textId="77777777" w:rsidR="00CB3026" w:rsidRDefault="00CB3026" w:rsidP="00F910A3">
            <w:pPr>
              <w:spacing w:before="120" w:after="120" w:line="260" w:lineRule="atLeast"/>
              <w:jc w:val="both"/>
              <w:rPr>
                <w:rFonts w:ascii="Verdana" w:hAnsi="Verdana"/>
                <w:b/>
                <w:sz w:val="22"/>
                <w:szCs w:val="22"/>
              </w:rPr>
            </w:pPr>
            <w:r>
              <w:rPr>
                <w:rFonts w:ascii="Verdana" w:hAnsi="Verdana"/>
                <w:b/>
                <w:bCs/>
                <w:sz w:val="22"/>
                <w:szCs w:val="22"/>
                <w:lang w:val="tr"/>
              </w:rPr>
              <w:t>Değerlendirme/Bilgi Kontrolü</w:t>
            </w:r>
          </w:p>
          <w:p w14:paraId="7EBF5E5F" w14:textId="77777777" w:rsidR="00CB3026" w:rsidRPr="00CB3026" w:rsidRDefault="00CB3026" w:rsidP="00F910A3">
            <w:pPr>
              <w:spacing w:before="120" w:after="120" w:line="260" w:lineRule="atLeast"/>
              <w:jc w:val="both"/>
              <w:rPr>
                <w:rFonts w:ascii="Verdana" w:hAnsi="Verdana"/>
                <w:sz w:val="18"/>
                <w:szCs w:val="18"/>
              </w:rPr>
            </w:pPr>
            <w:r>
              <w:rPr>
                <w:rFonts w:ascii="Verdana" w:hAnsi="Verdana"/>
                <w:color w:val="000000" w:themeColor="text1"/>
                <w:sz w:val="18"/>
                <w:szCs w:val="18"/>
                <w:lang w:val="tr"/>
              </w:rPr>
              <w:t>Bu oturum için bilgi kontrolü veya değerlendirme yapılması istenmemektedir.</w:t>
            </w:r>
          </w:p>
        </w:tc>
      </w:tr>
    </w:tbl>
    <w:p w14:paraId="6DFD93D4" w14:textId="77777777" w:rsidR="00D82C18" w:rsidRPr="00D82C18" w:rsidRDefault="00D82C18" w:rsidP="00F910A3">
      <w:pPr>
        <w:spacing w:before="120" w:after="120" w:line="260" w:lineRule="atLeast"/>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10"/>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
  </w:num>
  <w:num w:numId="10">
    <w:abstractNumId w:val="1"/>
  </w:num>
  <w:num w:numId="11">
    <w:abstractNumId w:val="8"/>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51376"/>
    <w:rsid w:val="000C40EE"/>
    <w:rsid w:val="000D0409"/>
    <w:rsid w:val="000F04E4"/>
    <w:rsid w:val="000F7896"/>
    <w:rsid w:val="00110B25"/>
    <w:rsid w:val="001D603D"/>
    <w:rsid w:val="001E7389"/>
    <w:rsid w:val="00271010"/>
    <w:rsid w:val="002D52FC"/>
    <w:rsid w:val="002E3ECE"/>
    <w:rsid w:val="002F3B54"/>
    <w:rsid w:val="00314D32"/>
    <w:rsid w:val="0034224C"/>
    <w:rsid w:val="00342639"/>
    <w:rsid w:val="003453F7"/>
    <w:rsid w:val="00354496"/>
    <w:rsid w:val="003630ED"/>
    <w:rsid w:val="003A435F"/>
    <w:rsid w:val="003E2876"/>
    <w:rsid w:val="003F6587"/>
    <w:rsid w:val="004068A7"/>
    <w:rsid w:val="00437AF3"/>
    <w:rsid w:val="00450007"/>
    <w:rsid w:val="00457DD3"/>
    <w:rsid w:val="00473D36"/>
    <w:rsid w:val="004B3289"/>
    <w:rsid w:val="004B7351"/>
    <w:rsid w:val="00514FE0"/>
    <w:rsid w:val="00556D69"/>
    <w:rsid w:val="005703B7"/>
    <w:rsid w:val="005A4E47"/>
    <w:rsid w:val="005D4432"/>
    <w:rsid w:val="0062475C"/>
    <w:rsid w:val="00637AFB"/>
    <w:rsid w:val="006527C6"/>
    <w:rsid w:val="00671ADF"/>
    <w:rsid w:val="00672F68"/>
    <w:rsid w:val="00680264"/>
    <w:rsid w:val="006B0B52"/>
    <w:rsid w:val="0075334E"/>
    <w:rsid w:val="007678A6"/>
    <w:rsid w:val="007B1154"/>
    <w:rsid w:val="007E3B3E"/>
    <w:rsid w:val="007F4E03"/>
    <w:rsid w:val="0084446A"/>
    <w:rsid w:val="00844FBF"/>
    <w:rsid w:val="008817F1"/>
    <w:rsid w:val="00881F77"/>
    <w:rsid w:val="008A4C93"/>
    <w:rsid w:val="008C3900"/>
    <w:rsid w:val="008E3FE7"/>
    <w:rsid w:val="00906F18"/>
    <w:rsid w:val="00951791"/>
    <w:rsid w:val="009B4375"/>
    <w:rsid w:val="009D1DB1"/>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0FC"/>
    <w:rsid w:val="00AF1106"/>
    <w:rsid w:val="00B3608C"/>
    <w:rsid w:val="00BA4F21"/>
    <w:rsid w:val="00BA7368"/>
    <w:rsid w:val="00C115FC"/>
    <w:rsid w:val="00C5358D"/>
    <w:rsid w:val="00C541A2"/>
    <w:rsid w:val="00C70C5C"/>
    <w:rsid w:val="00CB02C4"/>
    <w:rsid w:val="00CB3026"/>
    <w:rsid w:val="00CC1F79"/>
    <w:rsid w:val="00D01990"/>
    <w:rsid w:val="00D02F47"/>
    <w:rsid w:val="00D57822"/>
    <w:rsid w:val="00D669F8"/>
    <w:rsid w:val="00D82C18"/>
    <w:rsid w:val="00DF2563"/>
    <w:rsid w:val="00E13BE7"/>
    <w:rsid w:val="00E243AE"/>
    <w:rsid w:val="00E31F52"/>
    <w:rsid w:val="00E7344B"/>
    <w:rsid w:val="00E95703"/>
    <w:rsid w:val="00F1574D"/>
    <w:rsid w:val="00F504D6"/>
    <w:rsid w:val="00F62A15"/>
    <w:rsid w:val="00F805C6"/>
    <w:rsid w:val="00F910A3"/>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031F5"/>
  <w15:docId w15:val="{B790DF9F-B356-422B-A297-54142856F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8A7"/>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423957650">
      <w:bodyDiv w:val="1"/>
      <w:marLeft w:val="0"/>
      <w:marRight w:val="0"/>
      <w:marTop w:val="0"/>
      <w:marBottom w:val="0"/>
      <w:divBdr>
        <w:top w:val="none" w:sz="0" w:space="0" w:color="auto"/>
        <w:left w:val="none" w:sz="0" w:space="0" w:color="auto"/>
        <w:bottom w:val="none" w:sz="0" w:space="0" w:color="auto"/>
        <w:right w:val="none" w:sz="0" w:space="0" w:color="auto"/>
      </w:divBdr>
    </w:div>
    <w:div w:id="642738682">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t-cy-2020-16-bc-benefits-rep-provisional/16809ef6a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994</Words>
  <Characters>5473</Characters>
  <Application>Microsoft Office Word</Application>
  <DocSecurity>0</DocSecurity>
  <Lines>45</Lines>
  <Paragraphs>12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v</dc:description>
  <cp:lastModifiedBy>Georgeta</cp:lastModifiedBy>
  <cp:revision>11</cp:revision>
  <dcterms:created xsi:type="dcterms:W3CDTF">2020-10-14T07:03:00Z</dcterms:created>
  <dcterms:modified xsi:type="dcterms:W3CDTF">2021-05-04T13:02:00Z</dcterms:modified>
</cp:coreProperties>
</file>